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7F" w:rsidRPr="007C4B90" w:rsidRDefault="00C07B7F" w:rsidP="00C07B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07B7F" w:rsidRPr="007C4B90" w:rsidRDefault="00C07B7F" w:rsidP="00C07B7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Témata k profilové maturitní zkoušce</w:t>
      </w:r>
    </w:p>
    <w:p w:rsidR="00C07B7F" w:rsidRPr="007C4B90" w:rsidRDefault="00C07B7F" w:rsidP="00C07B7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B90">
        <w:rPr>
          <w:rFonts w:ascii="Arial" w:hAnsi="Arial" w:cs="Arial"/>
          <w:b/>
          <w:sz w:val="24"/>
          <w:szCs w:val="24"/>
        </w:rPr>
        <w:t>ÚČETNICTVÍ A DANĚ</w:t>
      </w:r>
    </w:p>
    <w:p w:rsidR="00C07B7F" w:rsidRDefault="00C07B7F" w:rsidP="00C07B7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3"/>
          <w:szCs w:val="23"/>
        </w:rPr>
        <w:t>63-41-M/01</w:t>
      </w:r>
      <w:r w:rsidRPr="007C4B90">
        <w:rPr>
          <w:rFonts w:ascii="Arial" w:hAnsi="Arial" w:cs="Arial"/>
          <w:bCs/>
          <w:sz w:val="23"/>
          <w:szCs w:val="23"/>
        </w:rPr>
        <w:t xml:space="preserve"> </w:t>
      </w:r>
      <w:r w:rsidRPr="007C4B9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KONOMIKA A PODNIKÁNÍ – ÚČETNÍ A DAŇOVÝ SPECIALISTA</w:t>
      </w:r>
    </w:p>
    <w:p w:rsidR="00C07B7F" w:rsidRPr="007C4B90" w:rsidRDefault="00C07B7F" w:rsidP="00C07B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07B7F" w:rsidRPr="007C4B90" w:rsidRDefault="00C07B7F" w:rsidP="00C07B7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Školní rok 2024/25</w:t>
      </w:r>
    </w:p>
    <w:p w:rsidR="00C07B7F" w:rsidRPr="007C4B90" w:rsidRDefault="00C07B7F" w:rsidP="00C07B7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07B7F" w:rsidRPr="007C4B90" w:rsidRDefault="00C07B7F" w:rsidP="00C07B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Právní úprava účetnictví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Daňový systém ČR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7C4B90">
        <w:rPr>
          <w:rFonts w:ascii="Arial" w:hAnsi="Arial" w:cs="Arial"/>
          <w:sz w:val="24"/>
          <w:szCs w:val="24"/>
        </w:rPr>
        <w:t>okumentace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 xml:space="preserve">DPH – </w:t>
      </w:r>
      <w:r>
        <w:rPr>
          <w:rFonts w:ascii="Arial" w:hAnsi="Arial" w:cs="Arial"/>
          <w:sz w:val="24"/>
          <w:szCs w:val="24"/>
        </w:rPr>
        <w:t xml:space="preserve">obecné </w:t>
      </w:r>
      <w:r w:rsidRPr="007C4B90">
        <w:rPr>
          <w:rFonts w:ascii="Arial" w:hAnsi="Arial" w:cs="Arial"/>
          <w:sz w:val="24"/>
          <w:szCs w:val="24"/>
        </w:rPr>
        <w:t>předpoklady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Inventarizace¨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aň z příjmu fyzických osob</w:t>
      </w:r>
      <w:r w:rsidRPr="007C4B90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obecné </w:t>
      </w:r>
      <w:r w:rsidRPr="007C4B90">
        <w:rPr>
          <w:rFonts w:ascii="Arial" w:hAnsi="Arial" w:cs="Arial"/>
          <w:sz w:val="24"/>
          <w:szCs w:val="24"/>
        </w:rPr>
        <w:t>předpoklady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Dlouhodobý majetek 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DPFO – zdanění závislé činnosti, roční zúčtování daně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Odpisování a vyřazení dlouhodobého majetku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Majetkové daně - daň z nemovitých věcí</w:t>
      </w:r>
      <w:r>
        <w:rPr>
          <w:rFonts w:ascii="Arial" w:hAnsi="Arial" w:cs="Arial"/>
          <w:sz w:val="24"/>
          <w:szCs w:val="24"/>
        </w:rPr>
        <w:t>, silniční daň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 xml:space="preserve">Daň z příjmu právnické osoby – </w:t>
      </w:r>
      <w:r>
        <w:rPr>
          <w:rFonts w:ascii="Arial" w:hAnsi="Arial" w:cs="Arial"/>
          <w:sz w:val="24"/>
          <w:szCs w:val="24"/>
        </w:rPr>
        <w:t>obecné</w:t>
      </w:r>
      <w:r w:rsidRPr="007C4B90">
        <w:rPr>
          <w:rFonts w:ascii="Arial" w:hAnsi="Arial" w:cs="Arial"/>
          <w:sz w:val="24"/>
          <w:szCs w:val="24"/>
        </w:rPr>
        <w:t xml:space="preserve"> předpoklady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Zásoby</w:t>
      </w:r>
      <w:r>
        <w:rPr>
          <w:rFonts w:ascii="Arial" w:hAnsi="Arial" w:cs="Arial"/>
          <w:sz w:val="24"/>
          <w:szCs w:val="24"/>
        </w:rPr>
        <w:t xml:space="preserve"> materiálu a zboží, zvláštní případy účtování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Správa daní v ČR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 xml:space="preserve">Pohledávky a závazky 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Zúčtování daní a dotací</w:t>
      </w:r>
      <w:bookmarkStart w:id="0" w:name="_GoBack"/>
      <w:bookmarkEnd w:id="0"/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Náklady a výnosy</w:t>
      </w:r>
      <w:r>
        <w:rPr>
          <w:rFonts w:ascii="Arial" w:hAnsi="Arial" w:cs="Arial"/>
          <w:sz w:val="24"/>
          <w:szCs w:val="24"/>
        </w:rPr>
        <w:t>, výsledek hospodaření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Optimalizace daňové povinnosti FO i PO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Daňová evidence</w:t>
      </w:r>
    </w:p>
    <w:p w:rsidR="00C07B7F" w:rsidRPr="007C4B90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Krátkodobý finanční majetek a krátkodobé bankovní úvěry</w:t>
      </w:r>
    </w:p>
    <w:p w:rsidR="00661A0F" w:rsidRDefault="00C07B7F" w:rsidP="00C07B7F">
      <w:pPr>
        <w:pStyle w:val="Odstavecseseznamem"/>
        <w:numPr>
          <w:ilvl w:val="0"/>
          <w:numId w:val="1"/>
        </w:numPr>
        <w:spacing w:after="0" w:line="480" w:lineRule="auto"/>
        <w:ind w:left="714" w:hanging="357"/>
      </w:pPr>
      <w:r w:rsidRPr="00C07B7F">
        <w:rPr>
          <w:rFonts w:ascii="Arial" w:hAnsi="Arial" w:cs="Arial"/>
          <w:sz w:val="24"/>
          <w:szCs w:val="24"/>
        </w:rPr>
        <w:t>Účetní uzávěrka a závěrka</w:t>
      </w:r>
    </w:p>
    <w:sectPr w:rsidR="00661A0F" w:rsidSect="00B8662C">
      <w:headerReference w:type="default" r:id="rId8"/>
      <w:footerReference w:type="default" r:id="rId9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7F" w:rsidRDefault="00C07B7F" w:rsidP="00C07B7F">
      <w:pPr>
        <w:spacing w:after="0" w:line="240" w:lineRule="auto"/>
      </w:pPr>
      <w:r>
        <w:separator/>
      </w:r>
    </w:p>
  </w:endnote>
  <w:endnote w:type="continuationSeparator" w:id="0">
    <w:p w:rsidR="00C07B7F" w:rsidRDefault="00C07B7F" w:rsidP="00C0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7C" w:rsidRPr="007C4B90" w:rsidRDefault="006F60B8" w:rsidP="0022637C">
    <w:pPr>
      <w:pStyle w:val="Odstavecseseznamem"/>
      <w:spacing w:after="0"/>
      <w:ind w:left="0"/>
      <w:rPr>
        <w:rFonts w:ascii="Arial" w:hAnsi="Arial" w:cs="Arial"/>
        <w:sz w:val="24"/>
        <w:szCs w:val="24"/>
      </w:rPr>
    </w:pPr>
  </w:p>
  <w:p w:rsidR="0022637C" w:rsidRDefault="006F60B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7F" w:rsidRDefault="00C07B7F" w:rsidP="00C07B7F">
      <w:pPr>
        <w:spacing w:after="0" w:line="240" w:lineRule="auto"/>
      </w:pPr>
      <w:r>
        <w:separator/>
      </w:r>
    </w:p>
  </w:footnote>
  <w:footnote w:type="continuationSeparator" w:id="0">
    <w:p w:rsidR="00C07B7F" w:rsidRDefault="00C07B7F" w:rsidP="00C0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6F60B8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C07B7F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0490B69D" wp14:editId="3EBA5C8F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6F60B8" w:rsidP="00B8662C">
    <w:pPr>
      <w:pStyle w:val="Zhlav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11560"/>
    <w:multiLevelType w:val="hybridMultilevel"/>
    <w:tmpl w:val="60A4CEB8"/>
    <w:lvl w:ilvl="0" w:tplc="1C4287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7F"/>
    <w:rsid w:val="00301F3F"/>
    <w:rsid w:val="00340C0F"/>
    <w:rsid w:val="0054543C"/>
    <w:rsid w:val="007C25D3"/>
    <w:rsid w:val="00A55A8B"/>
    <w:rsid w:val="00C07B7F"/>
    <w:rsid w:val="00D9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7B7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07B7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07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07B7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07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07B7F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B7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7B7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07B7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07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07B7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07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07B7F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B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Marcela Prausová</cp:lastModifiedBy>
  <cp:revision>2</cp:revision>
  <dcterms:created xsi:type="dcterms:W3CDTF">2024-09-18T09:16:00Z</dcterms:created>
  <dcterms:modified xsi:type="dcterms:W3CDTF">2024-09-18T09:16:00Z</dcterms:modified>
</cp:coreProperties>
</file>